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572"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BCO</w:t>
      </w:r>
      <w:r>
        <w:rPr>
          <w:rFonts w:ascii="Times New Roman" w:hAnsi="Times New Roman"/>
          <w:b w:val="1"/>
          <w:bCs w:val="1"/>
          <w:sz w:val="28"/>
          <w:szCs w:val="28"/>
          <w:rtl w:val="0"/>
        </w:rPr>
        <w:t>-</w:t>
      </w:r>
      <w:r>
        <w:rPr>
          <w:rFonts w:ascii="Times New Roman" w:hAnsi="Times New Roman"/>
          <w:b w:val="1"/>
          <w:bCs w:val="1"/>
          <w:sz w:val="28"/>
          <w:szCs w:val="28"/>
          <w:rtl w:val="0"/>
          <w:lang w:val="en-US"/>
        </w:rPr>
        <w:t>MMDD</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Day</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Month</w:t>
      </w:r>
      <w:r>
        <w:rPr>
          <w:rFonts w:ascii="Times New Roman" w:hAnsi="Times New Roman"/>
          <w:b w:val="1"/>
          <w:bCs w:val="1"/>
          <w:sz w:val="28"/>
          <w:szCs w:val="28"/>
          <w:rtl w:val="0"/>
        </w:rPr>
        <w:t xml:space="preserve"> 2020)</w:t>
      </w:r>
    </w:p>
    <w:p>
      <w:pPr>
        <w:pStyle w:val="Default"/>
        <w:bidi w:val="0"/>
        <w:ind w:left="0" w:right="572" w:firstLine="0"/>
        <w:jc w:val="center"/>
        <w:rPr>
          <w:rFonts w:ascii="Times New Roman" w:cs="Times New Roman" w:hAnsi="Times New Roman" w:eastAsia="Times New Roman"/>
          <w:rtl w:val="0"/>
        </w:rPr>
      </w:pPr>
      <w:r>
        <w:rPr>
          <w:rFonts w:ascii="Times New Roman" w:hAnsi="Times New Roman"/>
          <w:rtl w:val="0"/>
          <w:lang w:val="en-US"/>
        </w:rPr>
        <w:t>Responsible Reporting Person</w:t>
      </w:r>
    </w:p>
    <w:p>
      <w:pPr>
        <w:pStyle w:val="Default"/>
        <w:bidi w:val="0"/>
        <w:ind w:left="0" w:right="572" w:firstLine="0"/>
        <w:jc w:val="left"/>
        <w:rPr>
          <w:rFonts w:ascii="Times New Roman" w:cs="Times New Roman" w:hAnsi="Times New Roman" w:eastAsia="Times New Roman"/>
          <w:i w:val="1"/>
          <w:i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 the following the italic text should be deleted in favor of the content that it describes, and subsection headings and table entries should be modified according to what is actually happening.  File should be named BCO and saved and shared as a pdf, i.e.,  BCO_0106.pdf</w:t>
      </w:r>
    </w:p>
    <w:p>
      <w:pPr>
        <w:pStyle w:val="Default"/>
        <w:bidi w:val="0"/>
        <w:ind w:left="0" w:right="572" w:firstLine="0"/>
        <w:jc w:val="left"/>
        <w:rPr>
          <w:rFonts w:ascii="Times New Roman" w:cs="Times New Roman" w:hAnsi="Times New Roman" w:eastAsia="Times New Roman"/>
          <w:b w:val="1"/>
          <w:bCs w:val="1"/>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Objective</w:t>
      </w: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Brief statment of purpose in the case special activities took place, otherwise sufficient to stay </w:t>
      </w:r>
      <w:r>
        <w:rPr>
          <w:rFonts w:ascii="Times New Roman" w:hAnsi="Times New Roman" w:hint="default"/>
          <w:i w:val="1"/>
          <w:iCs w:val="1"/>
          <w:rtl w:val="0"/>
          <w:lang w:val="en-US"/>
        </w:rPr>
        <w:t>‘</w:t>
      </w:r>
      <w:r>
        <w:rPr>
          <w:rFonts w:ascii="Times New Roman" w:hAnsi="Times New Roman"/>
          <w:i w:val="1"/>
          <w:iCs w:val="1"/>
          <w:rtl w:val="0"/>
          <w:lang w:val="en-US"/>
        </w:rPr>
        <w:t>Normal Operations</w:t>
      </w:r>
      <w:r>
        <w:rPr>
          <w:rFonts w:ascii="Times New Roman" w:hAnsi="Times New Roman" w:hint="default"/>
          <w:i w:val="1"/>
          <w:iCs w:val="1"/>
          <w:rtl w:val="0"/>
          <w:lang w:val="en-US"/>
        </w:rPr>
        <w:t>’</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Weather Overview</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Qualitative and quantitative description of</w:t>
      </w:r>
      <w:r>
        <w:rPr>
          <w:rFonts w:ascii="Times New Roman" w:hAnsi="Times New Roman"/>
          <w:i w:val="1"/>
          <w:iCs w:val="1"/>
          <w:rtl w:val="0"/>
          <w:lang w:val="en-US"/>
        </w:rPr>
        <w:t xml:space="preserve"> weather</w:t>
      </w:r>
      <w:r>
        <w:rPr>
          <w:rFonts w:ascii="Times New Roman" w:hAnsi="Times New Roman"/>
          <w:i w:val="1"/>
          <w:iCs w:val="1"/>
          <w:rtl w:val="0"/>
          <w:lang w:val="en-US"/>
        </w:rPr>
        <w:t xml:space="preserve"> at site</w:t>
      </w:r>
      <w:r>
        <w:rPr>
          <w:rFonts w:ascii="Times New Roman" w:hAnsi="Times New Roman"/>
          <w:i w:val="1"/>
          <w:iCs w:val="1"/>
          <w:rtl w:val="0"/>
          <w:lang w:val="en-US"/>
        </w:rPr>
        <w:t>, and</w:t>
      </w:r>
      <w:r>
        <w:rPr>
          <w:rFonts w:ascii="Times New Roman" w:hAnsi="Times New Roman"/>
          <w:i w:val="1"/>
          <w:iCs w:val="1"/>
          <w:rtl w:val="0"/>
          <w:lang w:val="en-US"/>
        </w:rPr>
        <w:t xml:space="preserve"> if any notice of changes at the site, an indication of these.  Also a quantitative tabulation of some quantities would be helpful, as indicated.</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bidi w:val="0"/>
        <w:ind w:left="0" w:right="572" w:firstLine="0"/>
        <w:jc w:val="left"/>
        <w:rPr>
          <w:rFonts w:ascii="Times New Roman" w:cs="Times New Roman" w:hAnsi="Times New Roman" w:eastAsia="Times New Roman"/>
          <w:i w:val="1"/>
          <w:iCs w:val="1"/>
          <w:sz w:val="24"/>
          <w:szCs w:val="24"/>
          <w:rtl w:val="0"/>
        </w:rPr>
      </w:pPr>
    </w:p>
    <w:tbl>
      <w:tblPr>
        <w:tblW w:w="85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47"/>
        <w:gridCol w:w="1624"/>
        <w:gridCol w:w="3898"/>
      </w:tblGrid>
      <w:tr>
        <w:tblPrEx>
          <w:shd w:val="clear" w:color="auto" w:fill="bdc0bf"/>
        </w:tblPrEx>
        <w:trPr>
          <w:trHeight w:val="154" w:hRule="exact"/>
          <w:tblHeader/>
        </w:trPr>
        <w:tc>
          <w:tcPr>
            <w:tcW w:type="dxa" w:w="304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pPr>
            <w:r>
              <w:rPr>
                <w:rFonts w:ascii="Courier New" w:hAnsi="Courier New"/>
                <w:rtl w:val="0"/>
              </w:rPr>
              <w:t>Field</w:t>
            </w:r>
          </w:p>
        </w:tc>
        <w:tc>
          <w:tcPr>
            <w:tcW w:type="dxa" w:w="1624"/>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rtl w:val="0"/>
              </w:rPr>
              <w:t>Quantity</w:t>
            </w:r>
          </w:p>
        </w:tc>
        <w:tc>
          <w:tcPr>
            <w:tcW w:type="dxa" w:w="389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left"/>
            </w:pPr>
            <w:r>
              <w:rPr>
                <w:rFonts w:ascii="Courier New" w:hAnsi="Courier New"/>
                <w:rtl w:val="0"/>
              </w:rPr>
              <w:t>Notes</w:t>
            </w:r>
          </w:p>
        </w:tc>
      </w:tr>
      <w:tr>
        <w:tblPrEx>
          <w:shd w:val="clear" w:color="auto" w:fill="auto"/>
        </w:tblPrEx>
        <w:trPr>
          <w:trHeight w:val="154" w:hRule="exact"/>
        </w:trPr>
        <w:tc>
          <w:tcPr>
            <w:tcW w:type="dxa" w:w="3047"/>
            <w:tcBorders>
              <w:top w:val="single" w:color="000000" w:sz="8" w:space="0" w:shadow="0" w:frame="0"/>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RH</w:t>
            </w:r>
          </w:p>
        </w:tc>
        <w:tc>
          <w:tcPr>
            <w:tcW w:type="dxa" w:w="162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rtl w:val="0"/>
              </w:rPr>
              <w:t>(83.5,12.2)</w:t>
            </w:r>
          </w:p>
        </w:tc>
        <w:tc>
          <w:tcPr>
            <w:tcW w:type="dxa" w:w="389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indicate instrument</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 xml:space="preserve">Tair </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(27.2,0.2)</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indicate instrument</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Wind</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indicate instrument</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Precipitable water</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(28.6,2.0)</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from 3 soundings</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CN</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rtl w:val="0"/>
              </w:rPr>
              <w:t>(300,28)</w:t>
            </w:r>
          </w:p>
        </w:tc>
        <w:tc>
          <w:tcPr>
            <w:tcW w:type="dxa" w:w="389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CCN</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Net solar</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net solar radiation</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Dust Index</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Coral lidar indicator</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Trade Inversion</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estimated height, say method</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Echo fraction at 1 km</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0,1,4</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-50 dBZ threshold</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Echo fraction at 300 m</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rtl w:val="0"/>
              </w:rPr>
              <w:t>0,1,4</w:t>
            </w: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-50 dBZ threshold</w:t>
            </w:r>
          </w:p>
        </w:tc>
      </w:tr>
      <w:tr>
        <w:tblPrEx>
          <w:shd w:val="clear" w:color="auto" w:fill="auto"/>
        </w:tblPrEx>
        <w:trPr>
          <w:trHeight w:val="154"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PoldiRad Echo Fractino</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for low level PPI</w:t>
            </w:r>
          </w:p>
        </w:tc>
      </w:tr>
    </w:tbl>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Instrument Status</w:t>
      </w: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Could say </w:t>
      </w:r>
      <w:r>
        <w:rPr>
          <w:rFonts w:ascii="Times New Roman" w:hAnsi="Times New Roman" w:hint="default"/>
          <w:i w:val="1"/>
          <w:iCs w:val="1"/>
          <w:rtl w:val="0"/>
          <w:lang w:val="en-US"/>
        </w:rPr>
        <w:t>‘</w:t>
      </w:r>
      <w:r>
        <w:rPr>
          <w:rFonts w:ascii="Times New Roman" w:hAnsi="Times New Roman"/>
          <w:i w:val="1"/>
          <w:iCs w:val="1"/>
          <w:rtl w:val="0"/>
          <w:lang w:val="en-US"/>
        </w:rPr>
        <w:t>nothing to report</w:t>
      </w:r>
      <w:r>
        <w:rPr>
          <w:rFonts w:ascii="Times New Roman" w:hAnsi="Times New Roman" w:hint="default"/>
          <w:i w:val="1"/>
          <w:iCs w:val="1"/>
          <w:rtl w:val="0"/>
          <w:lang w:val="en-US"/>
        </w:rPr>
        <w:t>’</w:t>
      </w:r>
      <w:r>
        <w:rPr>
          <w:rFonts w:ascii="Times New Roman" w:hAnsi="Times New Roman"/>
          <w:i w:val="1"/>
          <w:iCs w:val="1"/>
          <w:rtl w:val="0"/>
          <w:lang w:val="en-US"/>
        </w:rPr>
        <w:t>; Should only report anomalies.  Don</w:t>
      </w:r>
      <w:r>
        <w:rPr>
          <w:rFonts w:ascii="Times New Roman" w:hAnsi="Times New Roman" w:hint="default"/>
          <w:i w:val="1"/>
          <w:iCs w:val="1"/>
          <w:rtl w:val="0"/>
          <w:lang w:val="en-US"/>
        </w:rPr>
        <w:t>’</w:t>
      </w:r>
      <w:r>
        <w:rPr>
          <w:rFonts w:ascii="Times New Roman" w:hAnsi="Times New Roman"/>
          <w:i w:val="1"/>
          <w:iCs w:val="1"/>
          <w:rtl w:val="0"/>
          <w:lang w:val="en-US"/>
        </w:rPr>
        <w:t>t forget instruments at Ragged Point and Poldirad</w:t>
      </w: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Outlook</w:t>
      </w:r>
    </w:p>
    <w:p>
      <w:pPr>
        <w:pStyle w:val="Default"/>
        <w:bidi w:val="0"/>
        <w:ind w:left="0" w:right="572" w:firstLine="0"/>
        <w:jc w:val="left"/>
        <w:rPr>
          <w:rFonts w:ascii="Times New Roman" w:cs="Times New Roman" w:hAnsi="Times New Roman" w:eastAsia="Times New Roman"/>
          <w:i w:val="1"/>
          <w:iCs w:val="1"/>
          <w:sz w:val="24"/>
          <w:szCs w:val="24"/>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Heads up if any special activities are planned</w:t>
      </w:r>
    </w:p>
    <w:p>
      <w:pPr>
        <w:pStyle w:val="Default"/>
        <w:bidi w:val="0"/>
        <w:ind w:left="0" w:right="572" w:firstLine="0"/>
        <w:jc w:val="left"/>
        <w:rPr>
          <w:rFonts w:ascii="Times New Roman" w:cs="Times New Roman" w:hAnsi="Times New Roman" w:eastAsia="Times New Roman"/>
          <w:b w:val="1"/>
          <w:bCs w:val="1"/>
          <w:sz w:val="24"/>
          <w:szCs w:val="24"/>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Figures</w:t>
      </w: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Don</w:t>
      </w:r>
      <w:r>
        <w:rPr>
          <w:rFonts w:ascii="Times New Roman" w:hAnsi="Times New Roman" w:hint="default"/>
          <w:i w:val="1"/>
          <w:iCs w:val="1"/>
          <w:rtl w:val="0"/>
          <w:lang w:val="en-US"/>
        </w:rPr>
        <w:t>’</w:t>
      </w:r>
      <w:r>
        <w:rPr>
          <w:rFonts w:ascii="Times New Roman" w:hAnsi="Times New Roman"/>
          <w:i w:val="1"/>
          <w:iCs w:val="1"/>
          <w:rtl w:val="0"/>
          <w:lang w:val="en-US"/>
        </w:rPr>
        <w:t xml:space="preserve">t overdo this, but some standard figures to start with, which one would show every day, would be helpful.  For the ships this includes: i) a map showing its location for the 24 hour period; ii) time-series for the 24 hr period showing </w:t>
      </w:r>
      <w:r>
        <w:rPr>
          <w:rFonts w:ascii="Times New Roman" w:hAnsi="Times New Roman"/>
          <w:i w:val="1"/>
          <w:iCs w:val="1"/>
          <w:rtl w:val="0"/>
          <w:lang w:val="en-US"/>
        </w:rPr>
        <w:t>wind-speed, direction, SST, salinity, surface air (2m) temperature, and 2m Relative Humidity</w:t>
      </w:r>
      <w:r>
        <w:rPr>
          <w:rFonts w:ascii="Times New Roman" w:hAnsi="Times New Roman"/>
          <w:i w:val="1"/>
          <w:iCs w:val="1"/>
          <w:rtl w:val="0"/>
          <w:lang w:val="en-US"/>
        </w:rPr>
        <w:t>; iii) a few photographs, of sky and sea-state; iv) quick looks of other data as relevant (for instance if there was a dust event, then maybe a time-series of optical depth or some related quantity,   If CCN is available this would be great.</w:t>
      </w:r>
    </w:p>
    <w:p>
      <w:pPr>
        <w:pStyle w:val="Default"/>
        <w:bidi w:val="0"/>
        <w:ind w:left="0" w:right="572" w:firstLine="0"/>
        <w:jc w:val="left"/>
        <w:rPr>
          <w:rtl w:val="0"/>
        </w:rPr>
      </w:pPr>
      <w:r>
        <w:rPr>
          <w:rFonts w:ascii="Times New Roman" w:cs="Times New Roman" w:hAnsi="Times New Roman" w:eastAsia="Times New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